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8B" w:rsidRPr="00D1760D" w:rsidRDefault="003C1915" w:rsidP="003C19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ИНСТРУКЦИЯ</w:t>
      </w:r>
    </w:p>
    <w:p w:rsidR="003C1915" w:rsidRPr="00D1760D" w:rsidRDefault="003C1915" w:rsidP="003C19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по медицинскому применению препарата</w:t>
      </w:r>
    </w:p>
    <w:p w:rsidR="003C1915" w:rsidRPr="00D1760D" w:rsidRDefault="003C1915" w:rsidP="003C19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РАНКОФ</w:t>
      </w:r>
      <w:r w:rsidR="00B01F88" w:rsidRPr="00D1760D">
        <w:rPr>
          <w:rFonts w:ascii="Times New Roman" w:hAnsi="Times New Roman" w:cs="Times New Roman"/>
          <w:sz w:val="16"/>
          <w:szCs w:val="16"/>
          <w:vertAlign w:val="superscript"/>
        </w:rPr>
        <w:t>®</w:t>
      </w:r>
    </w:p>
    <w:p w:rsidR="003C1915" w:rsidRPr="00D1760D" w:rsidRDefault="003C1915" w:rsidP="003C19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1915" w:rsidRPr="00D1760D" w:rsidRDefault="003C1915" w:rsidP="003C1915">
      <w:pPr>
        <w:pStyle w:val="a3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Регистрационный номер:</w:t>
      </w:r>
      <w:r w:rsidRPr="00D1760D">
        <w:rPr>
          <w:rFonts w:ascii="Times New Roman" w:hAnsi="Times New Roman" w:cs="Times New Roman"/>
          <w:sz w:val="16"/>
          <w:szCs w:val="16"/>
        </w:rPr>
        <w:t xml:space="preserve"> ЛСР-006450/09</w:t>
      </w:r>
    </w:p>
    <w:p w:rsidR="003C1915" w:rsidRPr="00D1760D" w:rsidRDefault="003C1915" w:rsidP="003C1915">
      <w:pPr>
        <w:pStyle w:val="a3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Торговое название:</w:t>
      </w:r>
      <w:r w:rsidRPr="00D1760D">
        <w:rPr>
          <w:rFonts w:ascii="Times New Roman" w:hAnsi="Times New Roman" w:cs="Times New Roman"/>
          <w:sz w:val="16"/>
          <w:szCs w:val="16"/>
        </w:rPr>
        <w:t xml:space="preserve"> РАНКОФ</w:t>
      </w:r>
      <w:r w:rsidR="00B01F88" w:rsidRPr="00D1760D">
        <w:rPr>
          <w:rFonts w:ascii="Times New Roman" w:hAnsi="Times New Roman" w:cs="Times New Roman"/>
          <w:sz w:val="16"/>
          <w:szCs w:val="16"/>
          <w:vertAlign w:val="superscript"/>
        </w:rPr>
        <w:t>®</w:t>
      </w:r>
    </w:p>
    <w:p w:rsidR="003C1915" w:rsidRPr="00D1760D" w:rsidRDefault="003C1915" w:rsidP="003C1915">
      <w:pPr>
        <w:pStyle w:val="a3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Лекарственная форма:</w:t>
      </w:r>
      <w:r w:rsidRPr="00D1760D">
        <w:rPr>
          <w:rFonts w:ascii="Times New Roman" w:hAnsi="Times New Roman" w:cs="Times New Roman"/>
          <w:sz w:val="16"/>
          <w:szCs w:val="16"/>
        </w:rPr>
        <w:t xml:space="preserve"> Таблетки</w:t>
      </w:r>
    </w:p>
    <w:p w:rsidR="003C1915" w:rsidRPr="00D1760D" w:rsidRDefault="003C1915" w:rsidP="003C19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Состав: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Одна таблетка содержит: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i/>
          <w:sz w:val="16"/>
          <w:szCs w:val="16"/>
        </w:rPr>
        <w:t>активные вещества:</w:t>
      </w:r>
      <w:r w:rsidRPr="00D1760D">
        <w:rPr>
          <w:rFonts w:ascii="Times New Roman" w:hAnsi="Times New Roman" w:cs="Times New Roman"/>
          <w:sz w:val="16"/>
          <w:szCs w:val="16"/>
        </w:rPr>
        <w:t xml:space="preserve"> парацетамол – 500 мг,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хлорфенамина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малеат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– 2 мг, кофеин – 30 мг,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фенилэфрина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гидрохлорид – 10 мг.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i/>
          <w:sz w:val="16"/>
          <w:szCs w:val="16"/>
        </w:rPr>
        <w:t>вспомогательные вещества:</w:t>
      </w:r>
      <w:r w:rsidRPr="00D1760D">
        <w:rPr>
          <w:rFonts w:ascii="Times New Roman" w:hAnsi="Times New Roman" w:cs="Times New Roman"/>
          <w:sz w:val="16"/>
          <w:szCs w:val="16"/>
        </w:rPr>
        <w:t xml:space="preserve"> целлюлоза микрокристаллическая, крахмал кукурузный,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повидон</w:t>
      </w:r>
      <w:proofErr w:type="spellEnd"/>
      <w:proofErr w:type="gramStart"/>
      <w:r w:rsidRPr="00D1760D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D1760D">
        <w:rPr>
          <w:rFonts w:ascii="Times New Roman" w:hAnsi="Times New Roman" w:cs="Times New Roman"/>
          <w:sz w:val="16"/>
          <w:szCs w:val="16"/>
        </w:rPr>
        <w:t xml:space="preserve"> 30, тальк, магния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стеарат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карбоксиметилкрахмал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натрия (тип А), краситель пунцовый [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Понсо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4</w:t>
      </w:r>
      <w:r w:rsidRPr="00D1760D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D1760D">
        <w:rPr>
          <w:rFonts w:ascii="Times New Roman" w:hAnsi="Times New Roman" w:cs="Times New Roman"/>
          <w:sz w:val="16"/>
          <w:szCs w:val="16"/>
        </w:rPr>
        <w:t xml:space="preserve">],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метилпарагидро</w:t>
      </w:r>
      <w:r w:rsidR="00783658" w:rsidRPr="00D1760D">
        <w:rPr>
          <w:rFonts w:ascii="Times New Roman" w:hAnsi="Times New Roman" w:cs="Times New Roman"/>
          <w:sz w:val="16"/>
          <w:szCs w:val="16"/>
        </w:rPr>
        <w:t>к</w:t>
      </w:r>
      <w:r w:rsidRPr="00D1760D">
        <w:rPr>
          <w:rFonts w:ascii="Times New Roman" w:hAnsi="Times New Roman" w:cs="Times New Roman"/>
          <w:sz w:val="16"/>
          <w:szCs w:val="16"/>
        </w:rPr>
        <w:t>сибензоат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>.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Описание: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Таблетки розового цвета с вкраплениями темно-розового, светло-розового и белого цвета двояковыпуклые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капсуловидной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формы со скошенными краями, на одной стороне риска.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Фармакотерапевтическая группа:</w:t>
      </w: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Средство для устранения симптомов ОРЗ и «простуды» (анальгетическое ненаркотическое средство + альфа-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адреностимулятор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+ Н1-гистаминовых рецепторов блокатор + психостимулирующее средство).</w:t>
      </w:r>
    </w:p>
    <w:p w:rsidR="009C4499" w:rsidRDefault="009C4499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1915" w:rsidRPr="00D1760D" w:rsidRDefault="003C1915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1760D">
        <w:rPr>
          <w:rFonts w:ascii="Times New Roman" w:hAnsi="Times New Roman" w:cs="Times New Roman"/>
          <w:b/>
          <w:sz w:val="16"/>
          <w:szCs w:val="16"/>
        </w:rPr>
        <w:t>Код АТХ:</w:t>
      </w:r>
      <w:r w:rsidRPr="00D1760D">
        <w:rPr>
          <w:rFonts w:ascii="Times New Roman" w:hAnsi="Times New Roman" w:cs="Times New Roman"/>
          <w:sz w:val="16"/>
          <w:szCs w:val="16"/>
        </w:rPr>
        <w:t xml:space="preserve"> </w:t>
      </w:r>
      <w:r w:rsidRPr="00D1760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D1760D">
        <w:rPr>
          <w:rFonts w:ascii="Times New Roman" w:hAnsi="Times New Roman" w:cs="Times New Roman"/>
          <w:sz w:val="16"/>
          <w:szCs w:val="16"/>
        </w:rPr>
        <w:t>02</w:t>
      </w:r>
      <w:r w:rsidRPr="00D1760D">
        <w:rPr>
          <w:rFonts w:ascii="Times New Roman" w:hAnsi="Times New Roman" w:cs="Times New Roman"/>
          <w:sz w:val="16"/>
          <w:szCs w:val="16"/>
          <w:lang w:val="en-US"/>
        </w:rPr>
        <w:t>BE</w:t>
      </w:r>
      <w:r w:rsidRPr="00D1760D">
        <w:rPr>
          <w:rFonts w:ascii="Times New Roman" w:hAnsi="Times New Roman" w:cs="Times New Roman"/>
          <w:sz w:val="16"/>
          <w:szCs w:val="16"/>
        </w:rPr>
        <w:t>71</w:t>
      </w:r>
    </w:p>
    <w:p w:rsidR="005472B2" w:rsidRPr="00D1760D" w:rsidRDefault="005472B2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72B2" w:rsidRPr="00D1760D" w:rsidRDefault="005472B2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Фармакологическое свойство:</w:t>
      </w:r>
    </w:p>
    <w:p w:rsidR="00E840D4" w:rsidRPr="00D1760D" w:rsidRDefault="005472B2" w:rsidP="00D17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Комбинированное средство, оказывает жаропонижающее, анальгезирующее, альфа-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адреностимулирующее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вазоконстрикторное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и антигистаминное действие, устраняет симптомы “простуды”. </w:t>
      </w:r>
    </w:p>
    <w:p w:rsidR="005472B2" w:rsidRPr="00D1760D" w:rsidRDefault="005472B2" w:rsidP="00D17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Кофеин стимулирует психомоторные центры головного мозга, усиливает эффект анальгетиков, устраняет сонливость </w:t>
      </w:r>
      <w:r w:rsidR="00F95109" w:rsidRPr="00D1760D">
        <w:rPr>
          <w:rFonts w:ascii="Times New Roman" w:hAnsi="Times New Roman" w:cs="Times New Roman"/>
          <w:sz w:val="16"/>
          <w:szCs w:val="16"/>
        </w:rPr>
        <w:t>и чувство усталости, повышает физическую и умственную работоспособность, укорачивает время реакций, временно уменьшает утомляемость и сонливость.</w:t>
      </w:r>
    </w:p>
    <w:p w:rsidR="00F95109" w:rsidRPr="00D1760D" w:rsidRDefault="00F95109" w:rsidP="00D17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Парацетамол – ненаркотический анальгетик, блокирует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циклооксигеназу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преимущественно </w:t>
      </w:r>
      <w:r w:rsidR="005A7460" w:rsidRPr="00D1760D">
        <w:rPr>
          <w:rFonts w:ascii="Times New Roman" w:hAnsi="Times New Roman" w:cs="Times New Roman"/>
          <w:sz w:val="16"/>
          <w:szCs w:val="16"/>
        </w:rPr>
        <w:t>в центральной нервной системе (ЦНС), воздействуя на центры боли и терморегуляции; оказывает анальгезирующее и жаропонижающее действие.</w:t>
      </w:r>
    </w:p>
    <w:p w:rsidR="005A7460" w:rsidRPr="00D1760D" w:rsidRDefault="005A7460" w:rsidP="00D17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Фенилэфрин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– альфа-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адреномиметик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с умеренным сосудосуживающим действием.</w:t>
      </w:r>
    </w:p>
    <w:p w:rsidR="005A7460" w:rsidRPr="00D1760D" w:rsidRDefault="005A7460" w:rsidP="00D17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Хлорфенамин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– блокатор Н1-гистаминорецепторов. Суживает сосуды носа, устраняет отечность и гиперемию слизистой оболочки полости носа, носоглотки и придаточных пазух носа; уменьшает экссудативные проявления, подавляет симптомы аллергического ринита.</w:t>
      </w:r>
    </w:p>
    <w:p w:rsidR="005A7460" w:rsidRPr="00D1760D" w:rsidRDefault="005A7460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7460" w:rsidRPr="00D1760D" w:rsidRDefault="005A7460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Показания:</w:t>
      </w:r>
    </w:p>
    <w:p w:rsidR="005A7460" w:rsidRPr="00D1760D" w:rsidRDefault="005A7460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1760D">
        <w:rPr>
          <w:rFonts w:ascii="Times New Roman" w:hAnsi="Times New Roman" w:cs="Times New Roman"/>
          <w:sz w:val="16"/>
          <w:szCs w:val="16"/>
        </w:rPr>
        <w:t xml:space="preserve">Симптоматическое лечение «простудных» заболеваний, гриппа, ОРВИ, инфекционного и аллергического ринита (лихорадочный синдром, болевой синдром,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ринорея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>).</w:t>
      </w:r>
      <w:proofErr w:type="gramEnd"/>
    </w:p>
    <w:p w:rsidR="005A7460" w:rsidRPr="00D1760D" w:rsidRDefault="005A7460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A7460" w:rsidRPr="00D1760D" w:rsidRDefault="005A7460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Противопоказания:</w:t>
      </w:r>
    </w:p>
    <w:p w:rsidR="005A7460" w:rsidRPr="00D1760D" w:rsidRDefault="003420C8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Гиперчувствительность, выраженный атеросклероз коронарных артерий, повышение артериального давления, сахарный диабет,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феохромоцитома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>, беременность, период лактации, детский возраст до 14 лет.</w:t>
      </w:r>
    </w:p>
    <w:p w:rsidR="003420C8" w:rsidRPr="00D1760D" w:rsidRDefault="003420C8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С осторожностью</w:t>
      </w:r>
      <w:r w:rsidRPr="00D1760D">
        <w:rPr>
          <w:rFonts w:ascii="Times New Roman" w:hAnsi="Times New Roman" w:cs="Times New Roman"/>
          <w:sz w:val="16"/>
          <w:szCs w:val="16"/>
        </w:rPr>
        <w:t xml:space="preserve"> – Дефицит глюкозо-6-фосфатдегидрогеназы; печеночная и/или почечная недостаточность,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закрытоугольная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глаукома, гиперплазия предстательной железы; врожденные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гипербилирубинемии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(синдромы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Жильбера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Дубина-Джонсона и Ротора), тиреотоксикоз, ХОБЛ (эмфизема легких, хронический бронхит), одновременный прием трициклических антидепрессантов и ингибиторов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моноаминооксидазы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(МАО) и бета-адреноблокаторов.</w:t>
      </w:r>
    </w:p>
    <w:p w:rsidR="003420C8" w:rsidRPr="00D1760D" w:rsidRDefault="003420C8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20C8" w:rsidRPr="00D1760D" w:rsidRDefault="003420C8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Режим дозирования:</w:t>
      </w:r>
    </w:p>
    <w:p w:rsidR="003420C8" w:rsidRPr="00D1760D" w:rsidRDefault="003420C8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Внутрь, взрослым и детям старше 14 лет – по 1 таблетке с интервалом 4-6 ч, но не более</w:t>
      </w:r>
      <w:r w:rsidR="001D2C6B" w:rsidRPr="00D1760D">
        <w:rPr>
          <w:rFonts w:ascii="Times New Roman" w:hAnsi="Times New Roman" w:cs="Times New Roman"/>
          <w:sz w:val="16"/>
          <w:szCs w:val="16"/>
        </w:rPr>
        <w:t xml:space="preserve"> 4 таблеток в сутки. Если не наблюдается облегчения симптомов в течение 3 дней после начала приема препарата, необходимо обратиться к врачу.</w:t>
      </w:r>
    </w:p>
    <w:p w:rsidR="001D2C6B" w:rsidRPr="00D1760D" w:rsidRDefault="001D2C6B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2C6B" w:rsidRPr="00D1760D" w:rsidRDefault="001D2C6B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Побочные эффекты</w:t>
      </w:r>
    </w:p>
    <w:p w:rsidR="001D2C6B" w:rsidRPr="00D1760D" w:rsidRDefault="001D2C6B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1760D">
        <w:rPr>
          <w:rFonts w:ascii="Times New Roman" w:hAnsi="Times New Roman" w:cs="Times New Roman"/>
          <w:sz w:val="16"/>
          <w:szCs w:val="16"/>
        </w:rPr>
        <w:t xml:space="preserve">Аллергические реакции (кожная сыпь, зуд, крапивница, ангионевротический отек), тошнота,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эпигастральная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боль; анемия, тромбоцито</w:t>
      </w:r>
      <w:r w:rsidR="00EA7343" w:rsidRPr="00D1760D">
        <w:rPr>
          <w:rFonts w:ascii="Times New Roman" w:hAnsi="Times New Roman" w:cs="Times New Roman"/>
          <w:sz w:val="16"/>
          <w:szCs w:val="16"/>
        </w:rPr>
        <w:t xml:space="preserve">пения, </w:t>
      </w:r>
      <w:proofErr w:type="spellStart"/>
      <w:r w:rsidR="00EA7343" w:rsidRPr="00D1760D">
        <w:rPr>
          <w:rFonts w:ascii="Times New Roman" w:hAnsi="Times New Roman" w:cs="Times New Roman"/>
          <w:sz w:val="16"/>
          <w:szCs w:val="16"/>
        </w:rPr>
        <w:t>агранулоцитоз</w:t>
      </w:r>
      <w:proofErr w:type="spellEnd"/>
      <w:r w:rsidR="00EA7343" w:rsidRPr="00D1760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EA7343" w:rsidRPr="00D1760D">
        <w:rPr>
          <w:rFonts w:ascii="Times New Roman" w:hAnsi="Times New Roman" w:cs="Times New Roman"/>
          <w:sz w:val="16"/>
          <w:szCs w:val="16"/>
        </w:rPr>
        <w:t xml:space="preserve"> Повышенная возбудимость, головокружение, повышение артериального давления, нарушение засыпания. </w:t>
      </w:r>
      <w:proofErr w:type="spellStart"/>
      <w:r w:rsidR="00EA7343" w:rsidRPr="00D1760D">
        <w:rPr>
          <w:rFonts w:ascii="Times New Roman" w:hAnsi="Times New Roman" w:cs="Times New Roman"/>
          <w:sz w:val="16"/>
          <w:szCs w:val="16"/>
        </w:rPr>
        <w:t>Мидриаз</w:t>
      </w:r>
      <w:proofErr w:type="spellEnd"/>
      <w:r w:rsidR="00EA7343" w:rsidRPr="00D1760D">
        <w:rPr>
          <w:rFonts w:ascii="Times New Roman" w:hAnsi="Times New Roman" w:cs="Times New Roman"/>
          <w:sz w:val="16"/>
          <w:szCs w:val="16"/>
        </w:rPr>
        <w:t xml:space="preserve">, парез аккомодации, повышение внутриглазного давления, сухость во рту, тошнота, рвота, </w:t>
      </w:r>
      <w:proofErr w:type="spellStart"/>
      <w:r w:rsidR="00EA7343" w:rsidRPr="00D1760D">
        <w:rPr>
          <w:rFonts w:ascii="Times New Roman" w:hAnsi="Times New Roman" w:cs="Times New Roman"/>
          <w:sz w:val="16"/>
          <w:szCs w:val="16"/>
        </w:rPr>
        <w:t>эпигастральная</w:t>
      </w:r>
      <w:proofErr w:type="spellEnd"/>
      <w:r w:rsidR="00EA7343" w:rsidRPr="00D1760D">
        <w:rPr>
          <w:rFonts w:ascii="Times New Roman" w:hAnsi="Times New Roman" w:cs="Times New Roman"/>
          <w:sz w:val="16"/>
          <w:szCs w:val="16"/>
        </w:rPr>
        <w:t xml:space="preserve"> боль; задержка мочи.</w:t>
      </w:r>
    </w:p>
    <w:p w:rsidR="00EA7343" w:rsidRPr="00D1760D" w:rsidRDefault="00EA734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При длительном применении в больших дозах –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гепатотоксическое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действие, гемолитическая или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апластическая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анемия,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метгемоглобинемия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панцитопения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нефротоксичность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(почечная колика,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глюкозурия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>, интерстициальный нефрит, папиллярный некроз).</w:t>
      </w:r>
    </w:p>
    <w:p w:rsidR="00EA7343" w:rsidRPr="00D1760D" w:rsidRDefault="00EA734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A7343" w:rsidRPr="00D1760D" w:rsidRDefault="00EA734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Передозировка:</w:t>
      </w:r>
    </w:p>
    <w:p w:rsidR="00EA7343" w:rsidRPr="00D1760D" w:rsidRDefault="00EA734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Симптомы: парацетамол (при приеме свыше 10-15 г) – бледность кожных покровов, снижение аппетита, тошнота, рвота, токсический гепатит, вплоть до развития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гепатонекроза</w:t>
      </w:r>
      <w:proofErr w:type="spellEnd"/>
      <w:r w:rsidR="00612DC9" w:rsidRPr="00D1760D">
        <w:rPr>
          <w:rFonts w:ascii="Times New Roman" w:hAnsi="Times New Roman" w:cs="Times New Roman"/>
          <w:sz w:val="16"/>
          <w:szCs w:val="16"/>
        </w:rPr>
        <w:t xml:space="preserve">, повышение активности “печеночных” </w:t>
      </w:r>
      <w:proofErr w:type="spellStart"/>
      <w:r w:rsidR="00612DC9" w:rsidRPr="00D1760D">
        <w:rPr>
          <w:rFonts w:ascii="Times New Roman" w:hAnsi="Times New Roman" w:cs="Times New Roman"/>
          <w:sz w:val="16"/>
          <w:szCs w:val="16"/>
        </w:rPr>
        <w:t>трансаминаз</w:t>
      </w:r>
      <w:proofErr w:type="spellEnd"/>
      <w:r w:rsidR="00612DC9" w:rsidRPr="00D1760D">
        <w:rPr>
          <w:rFonts w:ascii="Times New Roman" w:hAnsi="Times New Roman" w:cs="Times New Roman"/>
          <w:sz w:val="16"/>
          <w:szCs w:val="16"/>
        </w:rPr>
        <w:t xml:space="preserve">, увеличение </w:t>
      </w:r>
      <w:proofErr w:type="spellStart"/>
      <w:r w:rsidR="00612DC9" w:rsidRPr="00D1760D">
        <w:rPr>
          <w:rFonts w:ascii="Times New Roman" w:hAnsi="Times New Roman" w:cs="Times New Roman"/>
          <w:sz w:val="16"/>
          <w:szCs w:val="16"/>
        </w:rPr>
        <w:t>протромбинового</w:t>
      </w:r>
      <w:proofErr w:type="spellEnd"/>
      <w:r w:rsidR="00612DC9" w:rsidRPr="00D1760D">
        <w:rPr>
          <w:rFonts w:ascii="Times New Roman" w:hAnsi="Times New Roman" w:cs="Times New Roman"/>
          <w:sz w:val="16"/>
          <w:szCs w:val="16"/>
        </w:rPr>
        <w:t xml:space="preserve"> времени.</w:t>
      </w: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Лечение: симптоматическое, промывание желудка, введение донаторов </w:t>
      </w:r>
      <w:r w:rsidRPr="00D1760D">
        <w:rPr>
          <w:rFonts w:ascii="Times New Roman" w:hAnsi="Times New Roman" w:cs="Times New Roman"/>
          <w:sz w:val="16"/>
          <w:szCs w:val="16"/>
          <w:lang w:val="en-US"/>
        </w:rPr>
        <w:t>SH</w:t>
      </w:r>
      <w:r w:rsidRPr="00D1760D">
        <w:rPr>
          <w:rFonts w:ascii="Times New Roman" w:hAnsi="Times New Roman" w:cs="Times New Roman"/>
          <w:sz w:val="16"/>
          <w:szCs w:val="16"/>
        </w:rPr>
        <w:t xml:space="preserve">-групп и предшественников синтеза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глутатиона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– метионина через 8-9 ч после передозировки и </w:t>
      </w:r>
      <w:r w:rsidRPr="00D1760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D1760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ацетилцистеина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– через 12 часов.</w:t>
      </w: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Взаимодействие</w:t>
      </w: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Усиливает эффекты ингибиторов МАО, седативных лекарственных средств, этанола. Этанол усиливает седативное действие </w:t>
      </w:r>
      <w:proofErr w:type="gramStart"/>
      <w:r w:rsidRPr="00D1760D">
        <w:rPr>
          <w:rFonts w:ascii="Times New Roman" w:hAnsi="Times New Roman" w:cs="Times New Roman"/>
          <w:sz w:val="16"/>
          <w:szCs w:val="16"/>
        </w:rPr>
        <w:t>антигистаминных</w:t>
      </w:r>
      <w:proofErr w:type="gramEnd"/>
      <w:r w:rsidRPr="00D1760D">
        <w:rPr>
          <w:rFonts w:ascii="Times New Roman" w:hAnsi="Times New Roman" w:cs="Times New Roman"/>
          <w:sz w:val="16"/>
          <w:szCs w:val="16"/>
        </w:rPr>
        <w:t xml:space="preserve"> ЛС. Антидепрессанты,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противопаркинсонические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и антипсихотические ЛС,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фенотиазиновые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производные повышают риск развития задержки мочи, сухости во рту, запоров.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Глюкокортикостероиды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увеличивают риск развития глаукомы.</w:t>
      </w: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Парацетамол снижает эффективность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урикозурических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ЛС.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Хлорфенамин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одновременно с ингибиторами МАО,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фуразолидоном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может привести к гипертоническому кризу, возбуждению,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гиперпирексии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. Трициклические антидепрессанты усиливают адреномиметическое действие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фенилэфрина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, одновременное назначение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галотана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повышает риск развития желудочковой аритмии. Снижает гипотензивное действие</w:t>
      </w:r>
      <w:r w:rsidR="00DD710F" w:rsidRPr="00D1760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710F" w:rsidRPr="00D1760D">
        <w:rPr>
          <w:rFonts w:ascii="Times New Roman" w:hAnsi="Times New Roman" w:cs="Times New Roman"/>
          <w:sz w:val="16"/>
          <w:szCs w:val="16"/>
        </w:rPr>
        <w:t>гуанетидина</w:t>
      </w:r>
      <w:proofErr w:type="spellEnd"/>
      <w:r w:rsidR="00DD710F" w:rsidRPr="00D1760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DD710F" w:rsidRPr="00D1760D">
        <w:rPr>
          <w:rFonts w:ascii="Times New Roman" w:hAnsi="Times New Roman" w:cs="Times New Roman"/>
          <w:sz w:val="16"/>
          <w:szCs w:val="16"/>
        </w:rPr>
        <w:t>который</w:t>
      </w:r>
      <w:proofErr w:type="gramEnd"/>
      <w:r w:rsidR="00DD710F" w:rsidRPr="00D1760D">
        <w:rPr>
          <w:rFonts w:ascii="Times New Roman" w:hAnsi="Times New Roman" w:cs="Times New Roman"/>
          <w:sz w:val="16"/>
          <w:szCs w:val="16"/>
        </w:rPr>
        <w:t>, в свою очередь, усиливает альфа-</w:t>
      </w:r>
      <w:proofErr w:type="spellStart"/>
      <w:r w:rsidR="00DD710F" w:rsidRPr="00D1760D">
        <w:rPr>
          <w:rFonts w:ascii="Times New Roman" w:hAnsi="Times New Roman" w:cs="Times New Roman"/>
          <w:sz w:val="16"/>
          <w:szCs w:val="16"/>
        </w:rPr>
        <w:t>адреностимулирующую</w:t>
      </w:r>
      <w:proofErr w:type="spellEnd"/>
      <w:r w:rsidR="00DD710F" w:rsidRPr="00D1760D">
        <w:rPr>
          <w:rFonts w:ascii="Times New Roman" w:hAnsi="Times New Roman" w:cs="Times New Roman"/>
          <w:sz w:val="16"/>
          <w:szCs w:val="16"/>
        </w:rPr>
        <w:t xml:space="preserve"> активность </w:t>
      </w:r>
      <w:proofErr w:type="spellStart"/>
      <w:r w:rsidR="00DD710F" w:rsidRPr="00D1760D">
        <w:rPr>
          <w:rFonts w:ascii="Times New Roman" w:hAnsi="Times New Roman" w:cs="Times New Roman"/>
          <w:sz w:val="16"/>
          <w:szCs w:val="16"/>
        </w:rPr>
        <w:t>фенилэфрина</w:t>
      </w:r>
      <w:proofErr w:type="spellEnd"/>
      <w:r w:rsidR="00DD710F" w:rsidRPr="00D1760D">
        <w:rPr>
          <w:rFonts w:ascii="Times New Roman" w:hAnsi="Times New Roman" w:cs="Times New Roman"/>
          <w:sz w:val="16"/>
          <w:szCs w:val="16"/>
        </w:rPr>
        <w:t>.</w:t>
      </w: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Особые указания:</w:t>
      </w: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 xml:space="preserve">В период лечения проводят контроль показателей периферической крови и функционального состояния печени. В период лечения необходимо воздерживаться от вождения автотранспорта и занятий потенциально опасными видами деятельности, требующими повышенной концентрации внимания и быстроты психомоторных реакций, нельзя принимать этанол, снотворные и 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анксиолитические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 xml:space="preserve"> ЛС (транквилизаторы). Не принимать вместе с другими лекарственными средствами, содержащими вещества входящие в состав препарата. Если симптомы заболевания не проходят в течение 3 дней, обратиться к врачу.</w:t>
      </w: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lastRenderedPageBreak/>
        <w:t>Форма выпуска:</w:t>
      </w:r>
    </w:p>
    <w:p w:rsidR="00DD710F" w:rsidRPr="00D1760D" w:rsidRDefault="00DD710F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Таблетки.</w:t>
      </w:r>
      <w:r w:rsidR="000E7E13" w:rsidRPr="00D1760D">
        <w:rPr>
          <w:rFonts w:ascii="Times New Roman" w:hAnsi="Times New Roman" w:cs="Times New Roman"/>
          <w:sz w:val="16"/>
          <w:szCs w:val="16"/>
        </w:rPr>
        <w:t xml:space="preserve"> По 10 таблеток в блистер. По 1 блистеру укладывают в пачку картонную вместе с инструкцией по применению.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Условия хранения: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В сухом, защищенном от света месте при температуре не выше 25 °С. Хранить в недоступном для детей месте.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Срок годности: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4 года. Не использовать после истечения срока годности, указанного на упаковке.</w:t>
      </w:r>
    </w:p>
    <w:p w:rsidR="00612DC9" w:rsidRPr="00D1760D" w:rsidRDefault="00612DC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Условия отпуска из аптек: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Без рецепта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Владелец регистрационного удостоверения:</w:t>
      </w: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ООО “</w:t>
      </w:r>
      <w:proofErr w:type="spellStart"/>
      <w:r w:rsidRPr="00D1760D">
        <w:rPr>
          <w:rFonts w:ascii="Times New Roman" w:hAnsi="Times New Roman" w:cs="Times New Roman"/>
          <w:sz w:val="16"/>
          <w:szCs w:val="16"/>
        </w:rPr>
        <w:t>С</w:t>
      </w:r>
      <w:r w:rsidR="00B01F88" w:rsidRPr="00D1760D">
        <w:rPr>
          <w:rFonts w:ascii="Times New Roman" w:hAnsi="Times New Roman" w:cs="Times New Roman"/>
          <w:sz w:val="16"/>
          <w:szCs w:val="16"/>
        </w:rPr>
        <w:t>ава</w:t>
      </w:r>
      <w:r w:rsidRPr="00D1760D">
        <w:rPr>
          <w:rFonts w:ascii="Times New Roman" w:hAnsi="Times New Roman" w:cs="Times New Roman"/>
          <w:sz w:val="16"/>
          <w:szCs w:val="16"/>
        </w:rPr>
        <w:t>Ф</w:t>
      </w:r>
      <w:r w:rsidR="00B01F88" w:rsidRPr="00D1760D">
        <w:rPr>
          <w:rFonts w:ascii="Times New Roman" w:hAnsi="Times New Roman" w:cs="Times New Roman"/>
          <w:sz w:val="16"/>
          <w:szCs w:val="16"/>
        </w:rPr>
        <w:t>арм</w:t>
      </w:r>
      <w:proofErr w:type="spellEnd"/>
      <w:r w:rsidRPr="00D1760D">
        <w:rPr>
          <w:rFonts w:ascii="Times New Roman" w:hAnsi="Times New Roman" w:cs="Times New Roman"/>
          <w:sz w:val="16"/>
          <w:szCs w:val="16"/>
        </w:rPr>
        <w:t>”.</w:t>
      </w:r>
    </w:p>
    <w:p w:rsidR="000E7E13" w:rsidRDefault="000E7E13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760D">
        <w:rPr>
          <w:rFonts w:ascii="Times New Roman" w:hAnsi="Times New Roman" w:cs="Times New Roman"/>
          <w:sz w:val="16"/>
          <w:szCs w:val="16"/>
        </w:rPr>
        <w:t>129085, г. Москва, Звездный бульвар, д. 3А, стр. 1.</w:t>
      </w:r>
    </w:p>
    <w:p w:rsidR="009C4499" w:rsidRPr="00D1760D" w:rsidRDefault="009C449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Тел./факс: +7 (495) 363-69-38.</w:t>
      </w:r>
    </w:p>
    <w:p w:rsidR="0055406E" w:rsidRPr="00D1760D" w:rsidRDefault="0055406E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7E13" w:rsidRPr="00D1760D" w:rsidRDefault="000E7E13" w:rsidP="003C191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60D">
        <w:rPr>
          <w:rFonts w:ascii="Times New Roman" w:hAnsi="Times New Roman" w:cs="Times New Roman"/>
          <w:b/>
          <w:sz w:val="16"/>
          <w:szCs w:val="16"/>
        </w:rPr>
        <w:t>Производитель:</w:t>
      </w:r>
    </w:p>
    <w:p w:rsidR="000E7E13" w:rsidRPr="00D1760D" w:rsidRDefault="009C449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НПО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ФармВИЛАР</w:t>
      </w:r>
      <w:proofErr w:type="spellEnd"/>
      <w:r>
        <w:rPr>
          <w:rFonts w:ascii="Times New Roman" w:hAnsi="Times New Roman" w:cs="Times New Roman"/>
          <w:sz w:val="16"/>
          <w:szCs w:val="16"/>
        </w:rPr>
        <w:t>», Россия</w:t>
      </w:r>
      <w:r w:rsidR="000E7E13" w:rsidRPr="00D1760D">
        <w:rPr>
          <w:rFonts w:ascii="Times New Roman" w:hAnsi="Times New Roman" w:cs="Times New Roman"/>
          <w:sz w:val="16"/>
          <w:szCs w:val="16"/>
        </w:rPr>
        <w:t>.</w:t>
      </w:r>
    </w:p>
    <w:p w:rsidR="000E7E13" w:rsidRPr="00D1760D" w:rsidRDefault="009C4499" w:rsidP="003C19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249096,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Калужская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обл., г. Малоярославец,</w:t>
      </w:r>
      <w:r w:rsidR="000E7E13" w:rsidRPr="00D1760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ул. Коммунистическая, д. 115. </w:t>
      </w:r>
    </w:p>
    <w:sectPr w:rsidR="000E7E13" w:rsidRPr="00D1760D" w:rsidSect="00D1760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4C" w:rsidRDefault="00B3264C" w:rsidP="005D63C7">
      <w:pPr>
        <w:spacing w:after="0" w:line="240" w:lineRule="auto"/>
      </w:pPr>
      <w:r>
        <w:separator/>
      </w:r>
    </w:p>
  </w:endnote>
  <w:endnote w:type="continuationSeparator" w:id="0">
    <w:p w:rsidR="00B3264C" w:rsidRDefault="00B3264C" w:rsidP="005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0100"/>
      <w:docPartObj>
        <w:docPartGallery w:val="Page Numbers (Bottom of Page)"/>
        <w:docPartUnique/>
      </w:docPartObj>
    </w:sdtPr>
    <w:sdtEndPr/>
    <w:sdtContent>
      <w:p w:rsidR="005D63C7" w:rsidRDefault="005D63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99">
          <w:rPr>
            <w:noProof/>
          </w:rPr>
          <w:t>1</w:t>
        </w:r>
        <w:r>
          <w:fldChar w:fldCharType="end"/>
        </w:r>
      </w:p>
    </w:sdtContent>
  </w:sdt>
  <w:p w:rsidR="005D63C7" w:rsidRDefault="005D6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4C" w:rsidRDefault="00B3264C" w:rsidP="005D63C7">
      <w:pPr>
        <w:spacing w:after="0" w:line="240" w:lineRule="auto"/>
      </w:pPr>
      <w:r>
        <w:separator/>
      </w:r>
    </w:p>
  </w:footnote>
  <w:footnote w:type="continuationSeparator" w:id="0">
    <w:p w:rsidR="00B3264C" w:rsidRDefault="00B3264C" w:rsidP="005D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D"/>
    <w:rsid w:val="00006F3C"/>
    <w:rsid w:val="000D1F8B"/>
    <w:rsid w:val="000E7E13"/>
    <w:rsid w:val="001D2C6B"/>
    <w:rsid w:val="00206311"/>
    <w:rsid w:val="002A0124"/>
    <w:rsid w:val="003420C8"/>
    <w:rsid w:val="003A4F41"/>
    <w:rsid w:val="003C1915"/>
    <w:rsid w:val="005472B2"/>
    <w:rsid w:val="0055406E"/>
    <w:rsid w:val="005A7460"/>
    <w:rsid w:val="005D63C7"/>
    <w:rsid w:val="00612DC9"/>
    <w:rsid w:val="00653090"/>
    <w:rsid w:val="00783658"/>
    <w:rsid w:val="00795524"/>
    <w:rsid w:val="009C4499"/>
    <w:rsid w:val="00A24466"/>
    <w:rsid w:val="00B01F88"/>
    <w:rsid w:val="00B3264C"/>
    <w:rsid w:val="00B43B1D"/>
    <w:rsid w:val="00BF7904"/>
    <w:rsid w:val="00C271C3"/>
    <w:rsid w:val="00D1760D"/>
    <w:rsid w:val="00DD710F"/>
    <w:rsid w:val="00E840D4"/>
    <w:rsid w:val="00EA7343"/>
    <w:rsid w:val="00F95109"/>
    <w:rsid w:val="00FA1784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3C7"/>
  </w:style>
  <w:style w:type="paragraph" w:styleId="a6">
    <w:name w:val="footer"/>
    <w:basedOn w:val="a"/>
    <w:link w:val="a7"/>
    <w:uiPriority w:val="99"/>
    <w:unhideWhenUsed/>
    <w:rsid w:val="005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3C7"/>
  </w:style>
  <w:style w:type="paragraph" w:styleId="a6">
    <w:name w:val="footer"/>
    <w:basedOn w:val="a"/>
    <w:link w:val="a7"/>
    <w:uiPriority w:val="99"/>
    <w:unhideWhenUsed/>
    <w:rsid w:val="005D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Конюшихин</dc:creator>
  <cp:lastModifiedBy>Мичурин.Иван Владимирович</cp:lastModifiedBy>
  <cp:revision>8</cp:revision>
  <dcterms:created xsi:type="dcterms:W3CDTF">2013-01-23T08:23:00Z</dcterms:created>
  <dcterms:modified xsi:type="dcterms:W3CDTF">2019-01-15T10:33:00Z</dcterms:modified>
</cp:coreProperties>
</file>